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29A7" w14:textId="3C5223DE" w:rsidR="007A20D6" w:rsidRDefault="00157213">
      <w:pPr>
        <w:pStyle w:val="RCAText2"/>
        <w:jc w:val="center"/>
        <w:rPr>
          <w:rFonts w:ascii="Calibri" w:hAnsi="Calibri"/>
          <w:color w:val="auto"/>
          <w:sz w:val="28"/>
          <w:szCs w:val="28"/>
        </w:rPr>
      </w:pPr>
      <w:r>
        <w:rPr>
          <w:rFonts w:ascii="Calibri" w:hAnsi="Calibri"/>
          <w:noProof/>
          <w:color w:val="auto"/>
          <w:sz w:val="28"/>
          <w:szCs w:val="28"/>
          <w:lang w:val="en-GB" w:eastAsia="en-GB"/>
        </w:rPr>
        <w:drawing>
          <wp:anchor distT="0" distB="0" distL="114300" distR="114300" simplePos="0" relativeHeight="251657216" behindDoc="0" locked="0" layoutInCell="1" allowOverlap="1" wp14:anchorId="5E1EDB70" wp14:editId="1A63255B">
            <wp:simplePos x="0" y="0"/>
            <wp:positionH relativeFrom="margin">
              <wp:posOffset>3108086</wp:posOffset>
            </wp:positionH>
            <wp:positionV relativeFrom="margin">
              <wp:posOffset>10795</wp:posOffset>
            </wp:positionV>
            <wp:extent cx="2181860" cy="67754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ient-Safety-Logo-RGB-Col-Positiv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1860" cy="67754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color w:val="auto"/>
          <w:sz w:val="28"/>
          <w:szCs w:val="28"/>
          <w:lang w:val="en-GB" w:eastAsia="en-GB"/>
        </w:rPr>
        <w:drawing>
          <wp:anchor distT="0" distB="0" distL="114300" distR="114300" simplePos="0" relativeHeight="251661312" behindDoc="0" locked="0" layoutInCell="1" allowOverlap="1" wp14:anchorId="1D2BC9EE" wp14:editId="1581EFB3">
            <wp:simplePos x="0" y="0"/>
            <wp:positionH relativeFrom="margin">
              <wp:posOffset>1514236</wp:posOffset>
            </wp:positionH>
            <wp:positionV relativeFrom="margin">
              <wp:posOffset>10795</wp:posOffset>
            </wp:positionV>
            <wp:extent cx="1357630" cy="5892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I Logo_COLOUR_LARGE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7630" cy="589280"/>
                    </a:xfrm>
                    <a:prstGeom prst="rect">
                      <a:avLst/>
                    </a:prstGeom>
                  </pic:spPr>
                </pic:pic>
              </a:graphicData>
            </a:graphic>
            <wp14:sizeRelH relativeFrom="margin">
              <wp14:pctWidth>0</wp14:pctWidth>
            </wp14:sizeRelH>
            <wp14:sizeRelV relativeFrom="margin">
              <wp14:pctHeight>0</wp14:pctHeight>
            </wp14:sizeRelV>
          </wp:anchor>
        </w:drawing>
      </w:r>
    </w:p>
    <w:p w14:paraId="5E3AE176" w14:textId="6CEFAC0E" w:rsidR="007A20D6" w:rsidRDefault="007A20D6">
      <w:pPr>
        <w:pStyle w:val="RCAText2"/>
        <w:jc w:val="center"/>
        <w:rPr>
          <w:rFonts w:ascii="Calibri" w:hAnsi="Calibri"/>
          <w:color w:val="auto"/>
          <w:sz w:val="28"/>
          <w:szCs w:val="28"/>
        </w:rPr>
      </w:pPr>
      <w:r>
        <w:rPr>
          <w:rFonts w:ascii="Calibri" w:hAnsi="Calibri"/>
          <w:color w:val="auto"/>
          <w:sz w:val="28"/>
          <w:szCs w:val="28"/>
        </w:rPr>
        <w:tab/>
      </w:r>
      <w:r>
        <w:rPr>
          <w:rFonts w:ascii="Calibri" w:hAnsi="Calibri"/>
          <w:color w:val="auto"/>
          <w:sz w:val="28"/>
          <w:szCs w:val="28"/>
        </w:rPr>
        <w:tab/>
      </w:r>
      <w:r>
        <w:rPr>
          <w:rFonts w:ascii="Calibri" w:hAnsi="Calibri"/>
          <w:color w:val="auto"/>
          <w:sz w:val="28"/>
          <w:szCs w:val="28"/>
        </w:rPr>
        <w:tab/>
      </w:r>
      <w:r>
        <w:rPr>
          <w:rFonts w:ascii="Calibri" w:hAnsi="Calibri"/>
          <w:color w:val="auto"/>
          <w:sz w:val="28"/>
          <w:szCs w:val="28"/>
        </w:rPr>
        <w:tab/>
      </w:r>
    </w:p>
    <w:p w14:paraId="775B9538" w14:textId="23D5DA76" w:rsidR="007A20D6" w:rsidRDefault="007A20D6">
      <w:pPr>
        <w:pStyle w:val="RCAText2"/>
        <w:jc w:val="center"/>
        <w:rPr>
          <w:rFonts w:ascii="Calibri" w:hAnsi="Calibri"/>
          <w:color w:val="auto"/>
          <w:sz w:val="28"/>
          <w:szCs w:val="28"/>
        </w:rPr>
      </w:pPr>
    </w:p>
    <w:p w14:paraId="59F609E0" w14:textId="77777777" w:rsidR="00457020" w:rsidRDefault="00457020">
      <w:pPr>
        <w:pStyle w:val="RCAText2"/>
        <w:jc w:val="center"/>
        <w:rPr>
          <w:rFonts w:ascii="Calibri" w:hAnsi="Calibri"/>
          <w:color w:val="auto"/>
          <w:sz w:val="28"/>
          <w:szCs w:val="28"/>
        </w:rPr>
      </w:pPr>
    </w:p>
    <w:p w14:paraId="06736372" w14:textId="2D0CAA82" w:rsidR="00893A38" w:rsidRPr="00182C26" w:rsidRDefault="00893A38">
      <w:pPr>
        <w:pStyle w:val="RCAText2"/>
        <w:jc w:val="center"/>
        <w:rPr>
          <w:rFonts w:ascii="Calibri" w:hAnsi="Calibri"/>
          <w:color w:val="auto"/>
          <w:sz w:val="28"/>
          <w:szCs w:val="28"/>
        </w:rPr>
      </w:pPr>
      <w:r w:rsidRPr="00182C26">
        <w:rPr>
          <w:rFonts w:ascii="Calibri" w:hAnsi="Calibri"/>
          <w:color w:val="auto"/>
          <w:sz w:val="28"/>
          <w:szCs w:val="28"/>
        </w:rPr>
        <w:t xml:space="preserve">COLLEGE OF </w:t>
      </w:r>
      <w:r w:rsidR="00346072">
        <w:rPr>
          <w:rFonts w:ascii="Calibri" w:hAnsi="Calibri"/>
          <w:color w:val="auto"/>
          <w:sz w:val="28"/>
          <w:szCs w:val="28"/>
        </w:rPr>
        <w:t>anaesthesiologists</w:t>
      </w:r>
      <w:r w:rsidR="00D726D1" w:rsidRPr="00182C26">
        <w:rPr>
          <w:rFonts w:ascii="Calibri" w:hAnsi="Calibri"/>
          <w:color w:val="auto"/>
          <w:sz w:val="28"/>
          <w:szCs w:val="28"/>
        </w:rPr>
        <w:t xml:space="preserve"> OF IRELAND</w:t>
      </w:r>
      <w:r w:rsidR="006B193D" w:rsidRPr="00182C26">
        <w:rPr>
          <w:rFonts w:ascii="Calibri" w:hAnsi="Calibri"/>
          <w:color w:val="auto"/>
          <w:sz w:val="28"/>
          <w:szCs w:val="28"/>
        </w:rPr>
        <w:t xml:space="preserve"> </w:t>
      </w:r>
      <w:r w:rsidRPr="00182C26">
        <w:rPr>
          <w:rFonts w:ascii="Calibri" w:hAnsi="Calibri"/>
          <w:color w:val="auto"/>
          <w:sz w:val="28"/>
          <w:szCs w:val="28"/>
        </w:rPr>
        <w:t xml:space="preserve"> </w:t>
      </w:r>
    </w:p>
    <w:p w14:paraId="13BABB19" w14:textId="77777777" w:rsidR="00893A38" w:rsidRPr="00182C26" w:rsidRDefault="00893A38">
      <w:pPr>
        <w:pStyle w:val="RCAText2"/>
        <w:jc w:val="center"/>
        <w:rPr>
          <w:rFonts w:ascii="Calibri" w:hAnsi="Calibri"/>
          <w:b w:val="0"/>
          <w:bCs/>
          <w:color w:val="auto"/>
          <w:sz w:val="28"/>
          <w:szCs w:val="28"/>
        </w:rPr>
      </w:pPr>
      <w:r w:rsidRPr="00182C26">
        <w:rPr>
          <w:rFonts w:ascii="Calibri" w:hAnsi="Calibri"/>
          <w:b w:val="0"/>
          <w:bCs/>
          <w:snapToGrid w:val="0"/>
          <w:color w:val="auto"/>
          <w:sz w:val="28"/>
          <w:szCs w:val="28"/>
        </w:rPr>
        <w:t>In association with</w:t>
      </w:r>
    </w:p>
    <w:p w14:paraId="7DA867C6" w14:textId="77777777" w:rsidR="00182C26" w:rsidRPr="00182C26" w:rsidRDefault="00182C26" w:rsidP="00182C26">
      <w:pPr>
        <w:jc w:val="center"/>
        <w:rPr>
          <w:rFonts w:ascii="Calibri" w:hAnsi="Calibri"/>
          <w:b/>
          <w:sz w:val="28"/>
          <w:szCs w:val="28"/>
        </w:rPr>
      </w:pPr>
      <w:r w:rsidRPr="00182C26">
        <w:rPr>
          <w:rFonts w:ascii="Calibri" w:hAnsi="Calibri"/>
          <w:b/>
          <w:sz w:val="28"/>
          <w:szCs w:val="28"/>
        </w:rPr>
        <w:t xml:space="preserve">NATIONAL PATIENT SAFETY IN ANAESTHESIA CONFERENCE </w:t>
      </w:r>
    </w:p>
    <w:p w14:paraId="40A211E3" w14:textId="77777777" w:rsidR="004C6EC7" w:rsidRPr="00182C26" w:rsidRDefault="004C6EC7">
      <w:pPr>
        <w:pStyle w:val="RCAText2"/>
        <w:jc w:val="center"/>
        <w:rPr>
          <w:rFonts w:ascii="Calibri" w:hAnsi="Calibri"/>
          <w:snapToGrid w:val="0"/>
          <w:color w:val="auto"/>
          <w:sz w:val="28"/>
          <w:szCs w:val="28"/>
        </w:rPr>
      </w:pPr>
    </w:p>
    <w:p w14:paraId="24950E27" w14:textId="297666D1" w:rsidR="00893A38" w:rsidRPr="00B972C3" w:rsidRDefault="002201D2">
      <w:pPr>
        <w:jc w:val="center"/>
        <w:rPr>
          <w:rFonts w:ascii="Calibri" w:hAnsi="Calibri"/>
          <w:b/>
          <w:bCs/>
          <w:snapToGrid w:val="0"/>
          <w:color w:val="009E47"/>
          <w:sz w:val="28"/>
          <w:szCs w:val="28"/>
          <w:lang w:val="en-US"/>
        </w:rPr>
      </w:pPr>
      <w:r w:rsidRPr="00B972C3">
        <w:rPr>
          <w:rFonts w:ascii="Calibri" w:hAnsi="Calibri"/>
          <w:b/>
          <w:bCs/>
          <w:snapToGrid w:val="0"/>
          <w:color w:val="009E47"/>
          <w:sz w:val="28"/>
          <w:szCs w:val="28"/>
          <w:lang w:val="en-US"/>
        </w:rPr>
        <w:t>KP Moore</w:t>
      </w:r>
      <w:r w:rsidR="00BD54A3" w:rsidRPr="00B972C3">
        <w:rPr>
          <w:rFonts w:ascii="Calibri" w:hAnsi="Calibri"/>
          <w:b/>
          <w:bCs/>
          <w:snapToGrid w:val="0"/>
          <w:color w:val="009E47"/>
          <w:sz w:val="28"/>
          <w:szCs w:val="28"/>
          <w:lang w:val="en-US"/>
        </w:rPr>
        <w:t xml:space="preserve"> Medal </w:t>
      </w:r>
      <w:r w:rsidR="00A039E0" w:rsidRPr="00B972C3">
        <w:rPr>
          <w:rFonts w:ascii="Calibri" w:hAnsi="Calibri"/>
          <w:b/>
          <w:bCs/>
          <w:snapToGrid w:val="0"/>
          <w:color w:val="009E47"/>
          <w:sz w:val="28"/>
          <w:szCs w:val="28"/>
          <w:lang w:val="en-US"/>
        </w:rPr>
        <w:t>Competition</w:t>
      </w:r>
      <w:r w:rsidR="003913F7" w:rsidRPr="00B972C3">
        <w:rPr>
          <w:rFonts w:ascii="Calibri" w:hAnsi="Calibri"/>
          <w:b/>
          <w:bCs/>
          <w:snapToGrid w:val="0"/>
          <w:color w:val="009E47"/>
          <w:sz w:val="28"/>
          <w:szCs w:val="28"/>
          <w:lang w:val="en-US"/>
        </w:rPr>
        <w:t xml:space="preserve"> - Friday</w:t>
      </w:r>
      <w:r w:rsidR="00BD54A3" w:rsidRPr="00B972C3">
        <w:rPr>
          <w:rFonts w:ascii="Calibri" w:hAnsi="Calibri"/>
          <w:b/>
          <w:bCs/>
          <w:snapToGrid w:val="0"/>
          <w:color w:val="009E47"/>
          <w:sz w:val="28"/>
          <w:szCs w:val="28"/>
          <w:lang w:val="en-US"/>
        </w:rPr>
        <w:t xml:space="preserve"> </w:t>
      </w:r>
      <w:r w:rsidR="003913F7" w:rsidRPr="00B972C3">
        <w:rPr>
          <w:rFonts w:ascii="Calibri" w:hAnsi="Calibri"/>
          <w:b/>
          <w:bCs/>
          <w:snapToGrid w:val="0"/>
          <w:color w:val="009E47"/>
          <w:sz w:val="28"/>
          <w:szCs w:val="28"/>
          <w:lang w:val="en-US"/>
        </w:rPr>
        <w:t>1</w:t>
      </w:r>
      <w:r w:rsidR="005112AE">
        <w:rPr>
          <w:rFonts w:ascii="Calibri" w:hAnsi="Calibri"/>
          <w:b/>
          <w:bCs/>
          <w:snapToGrid w:val="0"/>
          <w:color w:val="009E47"/>
          <w:sz w:val="28"/>
          <w:szCs w:val="28"/>
          <w:lang w:val="en-US"/>
        </w:rPr>
        <w:t>7</w:t>
      </w:r>
      <w:r w:rsidR="003913F7" w:rsidRPr="00B972C3">
        <w:rPr>
          <w:rFonts w:ascii="Calibri" w:hAnsi="Calibri"/>
          <w:b/>
          <w:bCs/>
          <w:snapToGrid w:val="0"/>
          <w:color w:val="009E47"/>
          <w:sz w:val="28"/>
          <w:szCs w:val="28"/>
          <w:vertAlign w:val="superscript"/>
          <w:lang w:val="en-US"/>
        </w:rPr>
        <w:t>th</w:t>
      </w:r>
      <w:r w:rsidR="00182C26" w:rsidRPr="00B972C3">
        <w:rPr>
          <w:rFonts w:ascii="Calibri" w:hAnsi="Calibri"/>
          <w:b/>
          <w:bCs/>
          <w:snapToGrid w:val="0"/>
          <w:color w:val="009E47"/>
          <w:sz w:val="28"/>
          <w:szCs w:val="28"/>
          <w:vertAlign w:val="superscript"/>
          <w:lang w:val="en-US"/>
        </w:rPr>
        <w:t xml:space="preserve"> </w:t>
      </w:r>
      <w:r w:rsidR="00B972C3">
        <w:rPr>
          <w:rFonts w:ascii="Calibri" w:hAnsi="Calibri"/>
          <w:b/>
          <w:bCs/>
          <w:snapToGrid w:val="0"/>
          <w:color w:val="009E47"/>
          <w:sz w:val="28"/>
          <w:szCs w:val="28"/>
          <w:lang w:val="en-US"/>
        </w:rPr>
        <w:t>November 2022</w:t>
      </w:r>
    </w:p>
    <w:p w14:paraId="6BD8BAF5" w14:textId="77777777" w:rsidR="00893A38" w:rsidRPr="000D4C83" w:rsidRDefault="00893A38">
      <w:pPr>
        <w:jc w:val="center"/>
        <w:rPr>
          <w:rFonts w:ascii="Calibri" w:hAnsi="Calibri"/>
          <w:b/>
          <w:bCs/>
          <w:snapToGrid w:val="0"/>
          <w:color w:val="0000FF"/>
          <w:sz w:val="20"/>
          <w:szCs w:val="20"/>
          <w:lang w:val="en-US"/>
        </w:rPr>
      </w:pPr>
    </w:p>
    <w:p w14:paraId="74894BD3" w14:textId="77777777" w:rsidR="00893A38" w:rsidRPr="004C6EC7" w:rsidRDefault="00893A38">
      <w:pPr>
        <w:spacing w:before="113"/>
        <w:jc w:val="center"/>
        <w:rPr>
          <w:rFonts w:ascii="Calibri" w:hAnsi="Calibri"/>
          <w:snapToGrid w:val="0"/>
          <w:sz w:val="20"/>
          <w:szCs w:val="20"/>
          <w:lang w:val="en-US"/>
        </w:rPr>
      </w:pPr>
      <w:r w:rsidRPr="004C6EC7">
        <w:rPr>
          <w:rFonts w:ascii="Calibri" w:hAnsi="Calibri"/>
          <w:b/>
          <w:snapToGrid w:val="0"/>
          <w:sz w:val="20"/>
          <w:szCs w:val="20"/>
          <w:lang w:val="en-US"/>
        </w:rPr>
        <w:t>ABSTRACT FORM</w:t>
      </w:r>
    </w:p>
    <w:p w14:paraId="522EE38C" w14:textId="77777777" w:rsidR="00893A38" w:rsidRPr="00D66C44" w:rsidRDefault="00893A38">
      <w:pPr>
        <w:spacing w:line="300" w:lineRule="atLeast"/>
        <w:rPr>
          <w:snapToGrid w:val="0"/>
          <w:lang w:val="en-US"/>
        </w:rPr>
      </w:pPr>
    </w:p>
    <w:tbl>
      <w:tblPr>
        <w:tblW w:w="10348" w:type="dxa"/>
        <w:tblLayout w:type="fixed"/>
        <w:tblLook w:val="0000" w:firstRow="0" w:lastRow="0" w:firstColumn="0" w:lastColumn="0" w:noHBand="0" w:noVBand="0"/>
      </w:tblPr>
      <w:tblGrid>
        <w:gridCol w:w="1526"/>
        <w:gridCol w:w="8822"/>
      </w:tblGrid>
      <w:tr w:rsidR="00893A38" w:rsidRPr="00D66C44" w14:paraId="16D9E255" w14:textId="77777777" w:rsidTr="00F10466">
        <w:trPr>
          <w:trHeight w:val="1014"/>
        </w:trPr>
        <w:tc>
          <w:tcPr>
            <w:tcW w:w="1526" w:type="dxa"/>
          </w:tcPr>
          <w:p w14:paraId="6BDC6279" w14:textId="77777777" w:rsidR="00893A38" w:rsidRPr="00592C52" w:rsidRDefault="00893A38">
            <w:pPr>
              <w:rPr>
                <w:snapToGrid w:val="0"/>
                <w:sz w:val="22"/>
                <w:szCs w:val="22"/>
                <w:lang w:val="en-US"/>
              </w:rPr>
            </w:pPr>
            <w:r w:rsidRPr="00592C52">
              <w:rPr>
                <w:b/>
                <w:snapToGrid w:val="0"/>
                <w:sz w:val="22"/>
                <w:szCs w:val="22"/>
                <w:lang w:val="en-US"/>
              </w:rPr>
              <w:t>TITLE:</w:t>
            </w:r>
          </w:p>
        </w:tc>
        <w:tc>
          <w:tcPr>
            <w:tcW w:w="8822" w:type="dxa"/>
            <w:tcBorders>
              <w:top w:val="nil"/>
              <w:left w:val="nil"/>
              <w:bottom w:val="single" w:sz="2" w:space="0" w:color="auto"/>
              <w:right w:val="nil"/>
            </w:tcBorders>
          </w:tcPr>
          <w:p w14:paraId="0464CCD2" w14:textId="53A916D7" w:rsidR="00AE6555" w:rsidRPr="00D66C44" w:rsidRDefault="00F10466" w:rsidP="00AE6555">
            <w:pPr>
              <w:pStyle w:val="Heading1"/>
              <w:spacing w:line="360" w:lineRule="auto"/>
              <w:rPr>
                <w:rFonts w:ascii="Times New Roman" w:hAnsi="Times New Roman"/>
                <w:sz w:val="24"/>
              </w:rPr>
            </w:pPr>
            <w:r w:rsidRPr="00D66C44">
              <w:rPr>
                <w:rFonts w:ascii="Times New Roman" w:hAnsi="Times New Roman"/>
                <w:sz w:val="24"/>
              </w:rPr>
              <w:t>Quality improvement project to modify the</w:t>
            </w:r>
            <w:r w:rsidR="009959A2">
              <w:rPr>
                <w:rFonts w:ascii="Times New Roman" w:hAnsi="Times New Roman"/>
                <w:sz w:val="24"/>
              </w:rPr>
              <w:t xml:space="preserve"> management </w:t>
            </w:r>
            <w:r w:rsidRPr="00D66C44">
              <w:rPr>
                <w:rFonts w:ascii="Times New Roman" w:hAnsi="Times New Roman"/>
                <w:sz w:val="24"/>
              </w:rPr>
              <w:t xml:space="preserve">of </w:t>
            </w:r>
            <w:r w:rsidR="00887D33">
              <w:rPr>
                <w:rFonts w:ascii="Times New Roman" w:hAnsi="Times New Roman"/>
                <w:sz w:val="24"/>
              </w:rPr>
              <w:t>n</w:t>
            </w:r>
            <w:r w:rsidR="00787A65">
              <w:rPr>
                <w:rFonts w:ascii="Times New Roman" w:hAnsi="Times New Roman"/>
                <w:sz w:val="24"/>
              </w:rPr>
              <w:t xml:space="preserve">euromuscular </w:t>
            </w:r>
            <w:r w:rsidR="0015222A">
              <w:rPr>
                <w:rFonts w:ascii="Times New Roman" w:hAnsi="Times New Roman"/>
                <w:sz w:val="24"/>
              </w:rPr>
              <w:t xml:space="preserve">blockade </w:t>
            </w:r>
            <w:r w:rsidRPr="00D66C44">
              <w:rPr>
                <w:rFonts w:ascii="Times New Roman" w:hAnsi="Times New Roman"/>
                <w:sz w:val="24"/>
              </w:rPr>
              <w:t>and reduce postoperative morbidity and mortality</w:t>
            </w:r>
            <w:r w:rsidR="00CD7928">
              <w:rPr>
                <w:rFonts w:ascii="Times New Roman" w:hAnsi="Times New Roman"/>
                <w:sz w:val="24"/>
              </w:rPr>
              <w:t xml:space="preserve"> in L</w:t>
            </w:r>
            <w:r w:rsidR="009959A2">
              <w:rPr>
                <w:rFonts w:ascii="Times New Roman" w:hAnsi="Times New Roman"/>
                <w:sz w:val="24"/>
              </w:rPr>
              <w:t>etterkenny University Hospital</w:t>
            </w:r>
          </w:p>
          <w:p w14:paraId="00BABC63" w14:textId="77777777" w:rsidR="00893A38" w:rsidRPr="00D66C44" w:rsidRDefault="00893A38">
            <w:pPr>
              <w:rPr>
                <w:snapToGrid w:val="0"/>
              </w:rPr>
            </w:pPr>
          </w:p>
        </w:tc>
      </w:tr>
    </w:tbl>
    <w:p w14:paraId="3FCC8B7B" w14:textId="77777777" w:rsidR="00893A38" w:rsidRPr="00D66C44" w:rsidRDefault="00893A38">
      <w:pPr>
        <w:spacing w:line="300" w:lineRule="atLeast"/>
        <w:rPr>
          <w:snapToGrid w:val="0"/>
          <w:lang w:val="en-US"/>
        </w:rPr>
      </w:pPr>
    </w:p>
    <w:tbl>
      <w:tblPr>
        <w:tblW w:w="10348" w:type="dxa"/>
        <w:tblLayout w:type="fixed"/>
        <w:tblLook w:val="0000" w:firstRow="0" w:lastRow="0" w:firstColumn="0" w:lastColumn="0" w:noHBand="0" w:noVBand="0"/>
      </w:tblPr>
      <w:tblGrid>
        <w:gridCol w:w="1526"/>
        <w:gridCol w:w="8822"/>
      </w:tblGrid>
      <w:tr w:rsidR="00893A38" w:rsidRPr="00D66C44" w14:paraId="7EF6A891" w14:textId="77777777" w:rsidTr="00592C52">
        <w:trPr>
          <w:trHeight w:val="240"/>
        </w:trPr>
        <w:tc>
          <w:tcPr>
            <w:tcW w:w="1526" w:type="dxa"/>
          </w:tcPr>
          <w:p w14:paraId="250FC04B" w14:textId="77777777" w:rsidR="00893A38" w:rsidRPr="00D66C44" w:rsidRDefault="00893A38">
            <w:pPr>
              <w:rPr>
                <w:snapToGrid w:val="0"/>
                <w:lang w:val="en-US"/>
              </w:rPr>
            </w:pPr>
            <w:r w:rsidRPr="007F3C0E">
              <w:rPr>
                <w:b/>
                <w:snapToGrid w:val="0"/>
                <w:sz w:val="20"/>
                <w:szCs w:val="20"/>
                <w:lang w:val="en-US"/>
              </w:rPr>
              <w:t>AUTHOR (S)</w:t>
            </w:r>
            <w:r w:rsidRPr="00D66C44">
              <w:rPr>
                <w:b/>
                <w:snapToGrid w:val="0"/>
                <w:lang w:val="en-US"/>
              </w:rPr>
              <w:t>:</w:t>
            </w:r>
          </w:p>
        </w:tc>
        <w:tc>
          <w:tcPr>
            <w:tcW w:w="8822" w:type="dxa"/>
            <w:tcBorders>
              <w:top w:val="nil"/>
              <w:left w:val="nil"/>
              <w:bottom w:val="single" w:sz="2" w:space="0" w:color="auto"/>
              <w:right w:val="nil"/>
            </w:tcBorders>
          </w:tcPr>
          <w:p w14:paraId="6850CDDE" w14:textId="0CFA0067" w:rsidR="00893A38" w:rsidRPr="00D66C44" w:rsidRDefault="00AE6555">
            <w:pPr>
              <w:rPr>
                <w:snapToGrid w:val="0"/>
                <w:lang w:val="en-US"/>
              </w:rPr>
            </w:pPr>
            <w:r w:rsidRPr="00D66C44">
              <w:rPr>
                <w:snapToGrid w:val="0"/>
                <w:lang w:val="en-US"/>
              </w:rPr>
              <w:t>Rumbidzai Tsomondo, Netsai Chikosi</w:t>
            </w:r>
          </w:p>
        </w:tc>
      </w:tr>
    </w:tbl>
    <w:p w14:paraId="57ADCA98" w14:textId="77777777" w:rsidR="00893A38" w:rsidRPr="00D66C44" w:rsidRDefault="00893A38">
      <w:pPr>
        <w:spacing w:line="300" w:lineRule="atLeast"/>
        <w:rPr>
          <w:snapToGrid w:val="0"/>
          <w:lang w:val="en-US"/>
        </w:rPr>
      </w:pPr>
    </w:p>
    <w:tbl>
      <w:tblPr>
        <w:tblW w:w="10348" w:type="dxa"/>
        <w:tblLayout w:type="fixed"/>
        <w:tblLook w:val="0000" w:firstRow="0" w:lastRow="0" w:firstColumn="0" w:lastColumn="0" w:noHBand="0" w:noVBand="0"/>
      </w:tblPr>
      <w:tblGrid>
        <w:gridCol w:w="1526"/>
        <w:gridCol w:w="8822"/>
      </w:tblGrid>
      <w:tr w:rsidR="00893A38" w:rsidRPr="00D66C44" w14:paraId="2885EAAA" w14:textId="77777777" w:rsidTr="00AE6555">
        <w:trPr>
          <w:trHeight w:val="440"/>
        </w:trPr>
        <w:tc>
          <w:tcPr>
            <w:tcW w:w="1526" w:type="dxa"/>
          </w:tcPr>
          <w:p w14:paraId="4142163D" w14:textId="77777777" w:rsidR="00893A38" w:rsidRPr="007F3C0E" w:rsidRDefault="00893A38">
            <w:pPr>
              <w:rPr>
                <w:snapToGrid w:val="0"/>
                <w:sz w:val="20"/>
                <w:szCs w:val="20"/>
                <w:lang w:val="en-US"/>
              </w:rPr>
            </w:pPr>
            <w:r w:rsidRPr="007F3C0E">
              <w:rPr>
                <w:b/>
                <w:snapToGrid w:val="0"/>
                <w:sz w:val="20"/>
                <w:szCs w:val="20"/>
                <w:lang w:val="en-US"/>
              </w:rPr>
              <w:t>PRESENTER:</w:t>
            </w:r>
          </w:p>
        </w:tc>
        <w:tc>
          <w:tcPr>
            <w:tcW w:w="8822" w:type="dxa"/>
            <w:tcBorders>
              <w:top w:val="nil"/>
              <w:left w:val="nil"/>
              <w:bottom w:val="single" w:sz="2" w:space="0" w:color="auto"/>
              <w:right w:val="nil"/>
            </w:tcBorders>
          </w:tcPr>
          <w:p w14:paraId="1F5C0704" w14:textId="32F8A2B3" w:rsidR="00893A38" w:rsidRPr="00D66C44" w:rsidRDefault="00AE6555">
            <w:pPr>
              <w:rPr>
                <w:snapToGrid w:val="0"/>
                <w:lang w:val="en-US"/>
              </w:rPr>
            </w:pPr>
            <w:r w:rsidRPr="00D66C44">
              <w:rPr>
                <w:snapToGrid w:val="0"/>
                <w:lang w:val="en-US"/>
              </w:rPr>
              <w:t>Rumbdizai Tsomondo, Netsai Chikosi</w:t>
            </w:r>
          </w:p>
        </w:tc>
      </w:tr>
    </w:tbl>
    <w:p w14:paraId="348836CD" w14:textId="77777777" w:rsidR="00893A38" w:rsidRPr="00D66C44" w:rsidRDefault="00893A38">
      <w:pPr>
        <w:spacing w:line="300" w:lineRule="atLeast"/>
        <w:rPr>
          <w:snapToGrid w:val="0"/>
          <w:lang w:val="en-US"/>
        </w:rPr>
      </w:pPr>
    </w:p>
    <w:tbl>
      <w:tblPr>
        <w:tblW w:w="10348" w:type="dxa"/>
        <w:tblLayout w:type="fixed"/>
        <w:tblLook w:val="0000" w:firstRow="0" w:lastRow="0" w:firstColumn="0" w:lastColumn="0" w:noHBand="0" w:noVBand="0"/>
      </w:tblPr>
      <w:tblGrid>
        <w:gridCol w:w="1978"/>
        <w:gridCol w:w="8370"/>
      </w:tblGrid>
      <w:tr w:rsidR="00893A38" w:rsidRPr="00D66C44" w14:paraId="4D4CAC40" w14:textId="77777777" w:rsidTr="006537E2">
        <w:tc>
          <w:tcPr>
            <w:tcW w:w="1978" w:type="dxa"/>
          </w:tcPr>
          <w:p w14:paraId="68AB3568" w14:textId="77777777" w:rsidR="00893A38" w:rsidRPr="007F3C0E" w:rsidRDefault="00893A38">
            <w:pPr>
              <w:rPr>
                <w:snapToGrid w:val="0"/>
                <w:sz w:val="20"/>
                <w:szCs w:val="20"/>
                <w:lang w:val="en-US"/>
              </w:rPr>
            </w:pPr>
            <w:r w:rsidRPr="007F3C0E">
              <w:rPr>
                <w:b/>
                <w:snapToGrid w:val="0"/>
                <w:sz w:val="20"/>
                <w:szCs w:val="20"/>
                <w:lang w:val="en-US"/>
              </w:rPr>
              <w:t>NAME &amp; ADDRESS OF INSTITUTION:</w:t>
            </w:r>
          </w:p>
        </w:tc>
        <w:tc>
          <w:tcPr>
            <w:tcW w:w="8370" w:type="dxa"/>
            <w:tcBorders>
              <w:top w:val="nil"/>
              <w:left w:val="nil"/>
              <w:bottom w:val="single" w:sz="2" w:space="0" w:color="auto"/>
              <w:right w:val="nil"/>
            </w:tcBorders>
          </w:tcPr>
          <w:p w14:paraId="074C1501" w14:textId="77777777" w:rsidR="00893A38" w:rsidRPr="00D66C44" w:rsidRDefault="00AE6555">
            <w:pPr>
              <w:rPr>
                <w:snapToGrid w:val="0"/>
                <w:lang w:val="en-US"/>
              </w:rPr>
            </w:pPr>
            <w:r w:rsidRPr="00D66C44">
              <w:rPr>
                <w:snapToGrid w:val="0"/>
                <w:lang w:val="en-US"/>
              </w:rPr>
              <w:t>Letterkenny university hospital</w:t>
            </w:r>
          </w:p>
          <w:p w14:paraId="0B2CB5F2" w14:textId="0955717A" w:rsidR="00AE6555" w:rsidRPr="00D66C44" w:rsidRDefault="00AE6555">
            <w:pPr>
              <w:rPr>
                <w:snapToGrid w:val="0"/>
                <w:lang w:val="en-US"/>
              </w:rPr>
            </w:pPr>
            <w:r w:rsidRPr="00D66C44">
              <w:rPr>
                <w:snapToGrid w:val="0"/>
                <w:lang w:val="en-US"/>
              </w:rPr>
              <w:t>Kilmcrennan Rd, Ballyboe Glencar, Letterkenny, Co. Donegal F92AE81</w:t>
            </w:r>
          </w:p>
        </w:tc>
      </w:tr>
    </w:tbl>
    <w:p w14:paraId="1178FAF4" w14:textId="77777777" w:rsidR="00893A38" w:rsidRPr="00D66C44" w:rsidRDefault="00893A38">
      <w:pPr>
        <w:spacing w:line="300" w:lineRule="atLeast"/>
        <w:rPr>
          <w:snapToGrid w:val="0"/>
          <w:lang w:val="en-US"/>
        </w:rPr>
      </w:pPr>
    </w:p>
    <w:tbl>
      <w:tblPr>
        <w:tblW w:w="10348" w:type="dxa"/>
        <w:tblLayout w:type="fixed"/>
        <w:tblLook w:val="0000" w:firstRow="0" w:lastRow="0" w:firstColumn="0" w:lastColumn="0" w:noHBand="0" w:noVBand="0"/>
      </w:tblPr>
      <w:tblGrid>
        <w:gridCol w:w="1978"/>
        <w:gridCol w:w="8370"/>
      </w:tblGrid>
      <w:tr w:rsidR="006F40EA" w:rsidRPr="00D66C44" w14:paraId="06DECA91" w14:textId="77777777" w:rsidTr="007F3C0E">
        <w:trPr>
          <w:trHeight w:val="100"/>
        </w:trPr>
        <w:tc>
          <w:tcPr>
            <w:tcW w:w="1978" w:type="dxa"/>
          </w:tcPr>
          <w:p w14:paraId="6940251A" w14:textId="77777777" w:rsidR="006F40EA" w:rsidRPr="007F3C0E" w:rsidRDefault="006F40EA" w:rsidP="006F40EA">
            <w:pPr>
              <w:rPr>
                <w:snapToGrid w:val="0"/>
                <w:lang w:val="en-US"/>
              </w:rPr>
            </w:pPr>
            <w:r w:rsidRPr="007F3C0E">
              <w:rPr>
                <w:b/>
                <w:snapToGrid w:val="0"/>
                <w:lang w:val="en-US"/>
              </w:rPr>
              <w:t>Mobile Number:</w:t>
            </w:r>
          </w:p>
        </w:tc>
        <w:tc>
          <w:tcPr>
            <w:tcW w:w="8370" w:type="dxa"/>
            <w:tcBorders>
              <w:top w:val="nil"/>
              <w:left w:val="nil"/>
              <w:bottom w:val="single" w:sz="2" w:space="0" w:color="auto"/>
              <w:right w:val="nil"/>
            </w:tcBorders>
          </w:tcPr>
          <w:p w14:paraId="5CDC34B4" w14:textId="27CD33C9" w:rsidR="006F40EA" w:rsidRPr="00D66C44" w:rsidRDefault="00DD7F3F" w:rsidP="006F40EA">
            <w:pPr>
              <w:rPr>
                <w:snapToGrid w:val="0"/>
                <w:lang w:val="en-US"/>
              </w:rPr>
            </w:pPr>
            <w:r w:rsidRPr="00D66C44">
              <w:rPr>
                <w:snapToGrid w:val="0"/>
                <w:lang w:val="en-US"/>
              </w:rPr>
              <w:t>08</w:t>
            </w:r>
            <w:r w:rsidR="00AE6555" w:rsidRPr="00D66C44">
              <w:rPr>
                <w:snapToGrid w:val="0"/>
                <w:lang w:val="en-US"/>
              </w:rPr>
              <w:t>30825407, 0874389743</w:t>
            </w:r>
          </w:p>
        </w:tc>
      </w:tr>
    </w:tbl>
    <w:p w14:paraId="2C0DC2BE" w14:textId="77777777" w:rsidR="006F40EA" w:rsidRPr="00D66C44" w:rsidRDefault="006F40EA">
      <w:pPr>
        <w:spacing w:line="300" w:lineRule="atLeast"/>
        <w:rPr>
          <w:snapToGrid w:val="0"/>
          <w:lang w:val="en-US"/>
        </w:rPr>
      </w:pPr>
    </w:p>
    <w:tbl>
      <w:tblPr>
        <w:tblW w:w="10348" w:type="dxa"/>
        <w:tblLayout w:type="fixed"/>
        <w:tblLook w:val="0000" w:firstRow="0" w:lastRow="0" w:firstColumn="0" w:lastColumn="0" w:noHBand="0" w:noVBand="0"/>
      </w:tblPr>
      <w:tblGrid>
        <w:gridCol w:w="1978"/>
        <w:gridCol w:w="8370"/>
      </w:tblGrid>
      <w:tr w:rsidR="00151424" w:rsidRPr="00D66C44" w14:paraId="12D9B012" w14:textId="77777777" w:rsidTr="007F3C0E">
        <w:trPr>
          <w:trHeight w:val="100"/>
        </w:trPr>
        <w:tc>
          <w:tcPr>
            <w:tcW w:w="1978" w:type="dxa"/>
          </w:tcPr>
          <w:p w14:paraId="26F4B0FE" w14:textId="77777777" w:rsidR="00151424" w:rsidRPr="007F3C0E" w:rsidRDefault="00151424" w:rsidP="00151424">
            <w:pPr>
              <w:rPr>
                <w:snapToGrid w:val="0"/>
                <w:sz w:val="28"/>
                <w:szCs w:val="28"/>
                <w:lang w:val="en-US"/>
              </w:rPr>
            </w:pPr>
            <w:r w:rsidRPr="007F3C0E">
              <w:rPr>
                <w:b/>
                <w:snapToGrid w:val="0"/>
                <w:sz w:val="28"/>
                <w:szCs w:val="28"/>
                <w:lang w:val="en-US"/>
              </w:rPr>
              <w:t>Email:</w:t>
            </w:r>
          </w:p>
        </w:tc>
        <w:tc>
          <w:tcPr>
            <w:tcW w:w="8370" w:type="dxa"/>
            <w:tcBorders>
              <w:top w:val="nil"/>
              <w:left w:val="nil"/>
              <w:bottom w:val="single" w:sz="2" w:space="0" w:color="auto"/>
              <w:right w:val="nil"/>
            </w:tcBorders>
          </w:tcPr>
          <w:p w14:paraId="1436BC12" w14:textId="59639067" w:rsidR="00151424" w:rsidRPr="00D66C44" w:rsidRDefault="00D558C3" w:rsidP="00151424">
            <w:pPr>
              <w:rPr>
                <w:snapToGrid w:val="0"/>
                <w:lang w:val="en-US"/>
              </w:rPr>
            </w:pPr>
            <w:hyperlink r:id="rId12" w:history="1">
              <w:r w:rsidR="00AE6555" w:rsidRPr="00D66C44">
                <w:rPr>
                  <w:rStyle w:val="Hyperlink"/>
                  <w:snapToGrid w:val="0"/>
                  <w:lang w:val="en-US"/>
                </w:rPr>
                <w:t>natsierue@gmail.com</w:t>
              </w:r>
            </w:hyperlink>
            <w:r w:rsidR="00AE6555" w:rsidRPr="00D66C44">
              <w:rPr>
                <w:snapToGrid w:val="0"/>
                <w:lang w:val="en-US"/>
              </w:rPr>
              <w:t xml:space="preserve">, </w:t>
            </w:r>
            <w:hyperlink r:id="rId13" w:history="1">
              <w:r w:rsidR="00AE6555" w:rsidRPr="00D66C44">
                <w:rPr>
                  <w:rStyle w:val="Hyperlink"/>
                  <w:snapToGrid w:val="0"/>
                  <w:lang w:val="en-US"/>
                </w:rPr>
                <w:t>rumbidzai.tsomondo@gmail.com</w:t>
              </w:r>
            </w:hyperlink>
            <w:r w:rsidR="00AE6555" w:rsidRPr="00D66C44">
              <w:rPr>
                <w:snapToGrid w:val="0"/>
                <w:lang w:val="en-US"/>
              </w:rPr>
              <w:t xml:space="preserve"> </w:t>
            </w:r>
          </w:p>
        </w:tc>
      </w:tr>
    </w:tbl>
    <w:p w14:paraId="20228F3D" w14:textId="77777777" w:rsidR="00325FDC" w:rsidRDefault="00325FDC" w:rsidP="009A02E9">
      <w:pPr>
        <w:rPr>
          <w:snapToGrid w:val="0"/>
          <w:lang w:val="en-US"/>
        </w:rPr>
      </w:pPr>
    </w:p>
    <w:p w14:paraId="3D79AC7D" w14:textId="18A264D2" w:rsidR="009A02E9" w:rsidRPr="009A02E9" w:rsidRDefault="009A02E9" w:rsidP="009A02E9">
      <w:pPr>
        <w:rPr>
          <w:snapToGrid w:val="0"/>
          <w:lang w:val="en-US"/>
        </w:rPr>
      </w:pPr>
      <w:r w:rsidRPr="009A02E9">
        <w:rPr>
          <w:b/>
          <w:bCs/>
          <w:snapToGrid w:val="0"/>
          <w:lang w:val="en-US"/>
        </w:rPr>
        <w:t xml:space="preserve"> Consultant</w:t>
      </w:r>
      <w:r>
        <w:rPr>
          <w:b/>
          <w:bCs/>
          <w:snapToGrid w:val="0"/>
          <w:lang w:val="en-US"/>
        </w:rPr>
        <w:t xml:space="preserve">:  </w:t>
      </w:r>
      <w:r>
        <w:rPr>
          <w:snapToGrid w:val="0"/>
          <w:lang w:val="en-US"/>
        </w:rPr>
        <w:t xml:space="preserve">Dr Lori </w:t>
      </w:r>
      <w:proofErr w:type="spellStart"/>
      <w:r>
        <w:rPr>
          <w:snapToGrid w:val="0"/>
          <w:lang w:val="en-US"/>
        </w:rPr>
        <w:t>Dippenaar</w:t>
      </w:r>
      <w:proofErr w:type="spellEnd"/>
    </w:p>
    <w:p w14:paraId="234897A2" w14:textId="77777777" w:rsidR="00325FDC" w:rsidRPr="00D66C44" w:rsidRDefault="00325FDC" w:rsidP="00927D5A">
      <w:pPr>
        <w:spacing w:line="480" w:lineRule="auto"/>
        <w:jc w:val="center"/>
        <w:rPr>
          <w:snapToGrid w:val="0"/>
          <w:lang w:val="en-US"/>
        </w:rPr>
      </w:pPr>
    </w:p>
    <w:p w14:paraId="03E10E70" w14:textId="777836B0" w:rsidR="00A9773C" w:rsidRPr="007F3C0E" w:rsidRDefault="00401913" w:rsidP="00AC6DC9">
      <w:pPr>
        <w:spacing w:line="480" w:lineRule="auto"/>
        <w:rPr>
          <w:b/>
          <w:bCs/>
          <w:sz w:val="28"/>
          <w:szCs w:val="28"/>
          <w:u w:val="single"/>
        </w:rPr>
      </w:pPr>
      <w:r w:rsidRPr="007F3C0E">
        <w:rPr>
          <w:b/>
          <w:bCs/>
          <w:sz w:val="28"/>
          <w:szCs w:val="28"/>
          <w:u w:val="single"/>
        </w:rPr>
        <w:t>Abbreviations</w:t>
      </w:r>
    </w:p>
    <w:p w14:paraId="2B94330E" w14:textId="29E4673F" w:rsidR="00932884" w:rsidRPr="00D66C44" w:rsidRDefault="00932884" w:rsidP="00AC6DC9">
      <w:pPr>
        <w:spacing w:line="480" w:lineRule="auto"/>
        <w:rPr>
          <w:color w:val="000000" w:themeColor="text1"/>
        </w:rPr>
      </w:pPr>
      <w:r w:rsidRPr="00D66C44">
        <w:rPr>
          <w:color w:val="000000" w:themeColor="text1"/>
        </w:rPr>
        <w:t xml:space="preserve">LUH- Letterkenny university </w:t>
      </w:r>
      <w:r w:rsidR="00CF75F6" w:rsidRPr="00D66C44">
        <w:rPr>
          <w:color w:val="000000" w:themeColor="text1"/>
        </w:rPr>
        <w:t>hospital</w:t>
      </w:r>
    </w:p>
    <w:p w14:paraId="261D310E" w14:textId="22C345D7" w:rsidR="00401913" w:rsidRPr="00D66C44" w:rsidRDefault="00401913" w:rsidP="00AC6DC9">
      <w:pPr>
        <w:spacing w:line="480" w:lineRule="auto"/>
        <w:rPr>
          <w:color w:val="000000" w:themeColor="text1"/>
        </w:rPr>
      </w:pPr>
      <w:r w:rsidRPr="00D66C44">
        <w:rPr>
          <w:color w:val="000000" w:themeColor="text1"/>
        </w:rPr>
        <w:t>NM</w:t>
      </w:r>
      <w:r w:rsidR="00932884" w:rsidRPr="00D66C44">
        <w:rPr>
          <w:color w:val="000000" w:themeColor="text1"/>
        </w:rPr>
        <w:t>BA -neuromuscular block agents</w:t>
      </w:r>
    </w:p>
    <w:p w14:paraId="15707F1E" w14:textId="20F3D187" w:rsidR="00932884" w:rsidRPr="00D66C44" w:rsidRDefault="00932884" w:rsidP="00AC6DC9">
      <w:pPr>
        <w:spacing w:line="480" w:lineRule="auto"/>
        <w:rPr>
          <w:color w:val="000000" w:themeColor="text1"/>
        </w:rPr>
      </w:pPr>
      <w:r w:rsidRPr="00D66C44">
        <w:rPr>
          <w:color w:val="000000" w:themeColor="text1"/>
        </w:rPr>
        <w:t>NMB- neuromuscular blockade</w:t>
      </w:r>
    </w:p>
    <w:p w14:paraId="1D642057" w14:textId="3444A570" w:rsidR="00CF75F6" w:rsidRPr="00D66C44" w:rsidRDefault="00CF75F6" w:rsidP="00AC6DC9">
      <w:pPr>
        <w:spacing w:line="480" w:lineRule="auto"/>
        <w:rPr>
          <w:color w:val="000000" w:themeColor="text1"/>
        </w:rPr>
      </w:pPr>
      <w:r w:rsidRPr="00D66C44">
        <w:rPr>
          <w:color w:val="000000" w:themeColor="text1"/>
        </w:rPr>
        <w:t>TOF- Train-Of-Monitoring</w:t>
      </w:r>
    </w:p>
    <w:p w14:paraId="2C20854E" w14:textId="638FA1A0" w:rsidR="00CF75F6" w:rsidRPr="00D66C44" w:rsidRDefault="00CF75F6" w:rsidP="00AC6DC9">
      <w:pPr>
        <w:spacing w:line="480" w:lineRule="auto"/>
        <w:rPr>
          <w:color w:val="000000" w:themeColor="text1"/>
        </w:rPr>
      </w:pPr>
      <w:r w:rsidRPr="00D66C44">
        <w:rPr>
          <w:color w:val="000000" w:themeColor="text1"/>
        </w:rPr>
        <w:t xml:space="preserve">GA- </w:t>
      </w:r>
      <w:r w:rsidR="009959A2">
        <w:rPr>
          <w:color w:val="000000" w:themeColor="text1"/>
        </w:rPr>
        <w:t>G</w:t>
      </w:r>
      <w:r w:rsidRPr="00D66C44">
        <w:rPr>
          <w:color w:val="000000" w:themeColor="text1"/>
        </w:rPr>
        <w:t xml:space="preserve">eneral </w:t>
      </w:r>
      <w:r w:rsidR="009959A2">
        <w:rPr>
          <w:color w:val="000000" w:themeColor="text1"/>
        </w:rPr>
        <w:t>A</w:t>
      </w:r>
      <w:r w:rsidRPr="00D66C44">
        <w:rPr>
          <w:color w:val="000000" w:themeColor="text1"/>
        </w:rPr>
        <w:t xml:space="preserve">naesthesia </w:t>
      </w:r>
    </w:p>
    <w:p w14:paraId="4C44FA63" w14:textId="78F493B2" w:rsidR="00AC6DC9" w:rsidRPr="00D66C44" w:rsidRDefault="00E9272A" w:rsidP="00AC6DC9">
      <w:pPr>
        <w:shd w:val="clear" w:color="auto" w:fill="FFFFFF"/>
        <w:spacing w:line="480" w:lineRule="auto"/>
        <w:rPr>
          <w:color w:val="000000" w:themeColor="text1"/>
        </w:rPr>
      </w:pPr>
      <w:r w:rsidRPr="00D66C44">
        <w:rPr>
          <w:color w:val="000000" w:themeColor="text1"/>
          <w:lang w:val="en-GB"/>
        </w:rPr>
        <w:t>AAGBI</w:t>
      </w:r>
      <w:r w:rsidRPr="00D66C44">
        <w:rPr>
          <w:color w:val="000000" w:themeColor="text1"/>
        </w:rPr>
        <w:t xml:space="preserve">- </w:t>
      </w:r>
      <w:r w:rsidR="00AC6DC9" w:rsidRPr="00D66C44">
        <w:rPr>
          <w:rStyle w:val="hgkelc"/>
          <w:color w:val="000000" w:themeColor="text1"/>
          <w:lang w:val="en"/>
        </w:rPr>
        <w:t xml:space="preserve">Association of </w:t>
      </w:r>
      <w:r w:rsidR="00AC6DC9" w:rsidRPr="00D66C44">
        <w:rPr>
          <w:rStyle w:val="hgkelc"/>
          <w:color w:val="000000" w:themeColor="text1"/>
          <w:lang w:val="en"/>
        </w:rPr>
        <w:t>Anesthetists</w:t>
      </w:r>
      <w:r w:rsidR="00AC6DC9" w:rsidRPr="00D66C44">
        <w:rPr>
          <w:rStyle w:val="hgkelc"/>
          <w:color w:val="000000" w:themeColor="text1"/>
          <w:lang w:val="en"/>
        </w:rPr>
        <w:t xml:space="preserve"> of Great Britain and</w:t>
      </w:r>
      <w:r w:rsidR="00AC6DC9" w:rsidRPr="00D66C44">
        <w:rPr>
          <w:rStyle w:val="hgkelc"/>
          <w:color w:val="000000" w:themeColor="text1"/>
          <w:lang w:val="en"/>
        </w:rPr>
        <w:t xml:space="preserve"> </w:t>
      </w:r>
      <w:r w:rsidR="00AC6DC9" w:rsidRPr="00D66C44">
        <w:rPr>
          <w:rStyle w:val="hgkelc"/>
          <w:color w:val="000000" w:themeColor="text1"/>
          <w:lang w:val="en"/>
        </w:rPr>
        <w:t>Ireland</w:t>
      </w:r>
    </w:p>
    <w:p w14:paraId="25E6068C" w14:textId="1D8E5155" w:rsidR="00E9272A" w:rsidRPr="00401913" w:rsidRDefault="003073EE" w:rsidP="00927D5A">
      <w:pPr>
        <w:spacing w:line="480" w:lineRule="auto"/>
      </w:pPr>
      <w:r>
        <w:t>QIP- Quality Improvement Project</w:t>
      </w:r>
    </w:p>
    <w:p w14:paraId="7A9A02A9" w14:textId="77777777" w:rsidR="00A9773C" w:rsidRDefault="00A9773C" w:rsidP="00927D5A">
      <w:pPr>
        <w:spacing w:line="480" w:lineRule="auto"/>
        <w:rPr>
          <w:u w:val="single"/>
        </w:rPr>
      </w:pPr>
    </w:p>
    <w:p w14:paraId="3172657A" w14:textId="16CCE11B" w:rsidR="00A11B83" w:rsidRPr="00456F4A" w:rsidRDefault="00CC7390" w:rsidP="009959A2">
      <w:pPr>
        <w:spacing w:line="480" w:lineRule="auto"/>
        <w:rPr>
          <w:b/>
          <w:bCs/>
          <w:u w:val="single"/>
        </w:rPr>
      </w:pPr>
      <w:r w:rsidRPr="00456F4A">
        <w:rPr>
          <w:b/>
          <w:bCs/>
          <w:u w:val="single"/>
        </w:rPr>
        <w:t>Introduction</w:t>
      </w:r>
    </w:p>
    <w:p w14:paraId="2B8D8DE3" w14:textId="44A987B0" w:rsidR="003004FE" w:rsidRPr="00456F4A" w:rsidRDefault="009E79D8" w:rsidP="009959A2">
      <w:pPr>
        <w:spacing w:line="480" w:lineRule="auto"/>
      </w:pPr>
      <w:r>
        <w:rPr>
          <w:color w:val="222222"/>
          <w:shd w:val="clear" w:color="auto" w:fill="FFFFFF"/>
        </w:rPr>
        <w:t>Inadequate reversal of neuromuscular blockade </w:t>
      </w:r>
      <w:r>
        <w:rPr>
          <w:color w:val="222222"/>
          <w:shd w:val="clear" w:color="auto" w:fill="FFFFFF"/>
          <w:lang w:val="en-GB"/>
        </w:rPr>
        <w:t>has a multifactorial negative impact on the patient’s peri-operative experience</w:t>
      </w:r>
      <w:r>
        <w:rPr>
          <w:color w:val="222222"/>
          <w:shd w:val="clear" w:color="auto" w:fill="FFFFFF"/>
        </w:rPr>
        <w:t>.  It may be characterized by an  increased risk of iatrogenic  post-operative pulmonary complications</w:t>
      </w:r>
      <w:r>
        <w:rPr>
          <w:color w:val="222222"/>
          <w:shd w:val="clear" w:color="auto" w:fill="FFFFFF"/>
          <w:lang w:val="en-GB"/>
        </w:rPr>
        <w:t>, accidental awareness and associated risk of prolonged hospital stay thus increasing the morbidity and mortality associated with anaesthesia</w:t>
      </w:r>
      <w:r w:rsidR="009959A2">
        <w:rPr>
          <w:color w:val="222222"/>
          <w:shd w:val="clear" w:color="auto" w:fill="FFFFFF"/>
          <w:lang w:val="en-GB"/>
        </w:rPr>
        <w:t>.</w:t>
      </w:r>
    </w:p>
    <w:p w14:paraId="546CF2BC" w14:textId="77777777" w:rsidR="003004FE" w:rsidRPr="00456F4A" w:rsidRDefault="003004FE" w:rsidP="009959A2">
      <w:pPr>
        <w:spacing w:line="480" w:lineRule="auto"/>
      </w:pPr>
    </w:p>
    <w:p w14:paraId="164190FC" w14:textId="77777777" w:rsidR="009959A2" w:rsidRDefault="009959A2" w:rsidP="009959A2">
      <w:pPr>
        <w:spacing w:line="480" w:lineRule="auto"/>
        <w:rPr>
          <w:b/>
          <w:bCs/>
          <w:u w:val="single"/>
        </w:rPr>
      </w:pPr>
    </w:p>
    <w:p w14:paraId="45E1F45E" w14:textId="36C748D3" w:rsidR="00CC7390" w:rsidRPr="00456F4A" w:rsidRDefault="00CC7390" w:rsidP="009959A2">
      <w:pPr>
        <w:spacing w:line="480" w:lineRule="auto"/>
        <w:rPr>
          <w:b/>
          <w:bCs/>
          <w:u w:val="single"/>
        </w:rPr>
      </w:pPr>
      <w:r w:rsidRPr="00456F4A">
        <w:rPr>
          <w:b/>
          <w:bCs/>
          <w:u w:val="single"/>
        </w:rPr>
        <w:t>Aim</w:t>
      </w:r>
    </w:p>
    <w:p w14:paraId="6A59F1C1" w14:textId="337366ED" w:rsidR="000F0A54" w:rsidRDefault="000F0A54" w:rsidP="009959A2">
      <w:pPr>
        <w:pStyle w:val="NormalWeb"/>
        <w:shd w:val="clear" w:color="auto" w:fill="FFFFFF"/>
        <w:spacing w:before="0" w:beforeAutospacing="0" w:after="0" w:afterAutospacing="0" w:line="480" w:lineRule="auto"/>
        <w:ind w:left="720"/>
        <w:jc w:val="both"/>
        <w:rPr>
          <w:rFonts w:ascii="Calibri" w:hAnsi="Calibri" w:cs="Calibri"/>
          <w:color w:val="222222"/>
          <w:sz w:val="20"/>
          <w:szCs w:val="20"/>
        </w:rPr>
      </w:pPr>
      <w:r>
        <w:rPr>
          <w:color w:val="222222"/>
        </w:rPr>
        <w:t>1.</w:t>
      </w:r>
      <w:r>
        <w:rPr>
          <w:color w:val="222222"/>
          <w:sz w:val="14"/>
          <w:szCs w:val="14"/>
        </w:rPr>
        <w:t>     </w:t>
      </w:r>
      <w:r>
        <w:rPr>
          <w:color w:val="222222"/>
        </w:rPr>
        <w:t>Audit the management of neuromuscular blockade at LUH between January and July 2023</w:t>
      </w:r>
      <w:r w:rsidR="007056CE">
        <w:rPr>
          <w:color w:val="222222"/>
        </w:rPr>
        <w:t xml:space="preserve">, </w:t>
      </w:r>
      <w:r>
        <w:rPr>
          <w:color w:val="222222"/>
        </w:rPr>
        <w:t>assess</w:t>
      </w:r>
      <w:r w:rsidR="007056CE">
        <w:rPr>
          <w:color w:val="222222"/>
        </w:rPr>
        <w:t xml:space="preserve">ing </w:t>
      </w:r>
      <w:r>
        <w:rPr>
          <w:color w:val="222222"/>
        </w:rPr>
        <w:t>current clinical practise and adherence to the latest AAGBI guidelines on patient monitoring.</w:t>
      </w:r>
    </w:p>
    <w:p w14:paraId="179C5A73" w14:textId="77777777" w:rsidR="000F0A54" w:rsidRDefault="000F0A54" w:rsidP="009959A2">
      <w:pPr>
        <w:pStyle w:val="NormalWeb"/>
        <w:shd w:val="clear" w:color="auto" w:fill="FFFFFF"/>
        <w:spacing w:before="0" w:beforeAutospacing="0" w:after="200" w:afterAutospacing="0" w:line="480" w:lineRule="auto"/>
        <w:ind w:left="720"/>
        <w:jc w:val="both"/>
        <w:rPr>
          <w:rFonts w:ascii="Calibri" w:hAnsi="Calibri" w:cs="Calibri"/>
          <w:color w:val="222222"/>
          <w:sz w:val="20"/>
          <w:szCs w:val="20"/>
        </w:rPr>
      </w:pPr>
      <w:r>
        <w:rPr>
          <w:color w:val="222222"/>
        </w:rPr>
        <w:t>2.</w:t>
      </w:r>
      <w:r>
        <w:rPr>
          <w:color w:val="222222"/>
          <w:sz w:val="14"/>
          <w:szCs w:val="14"/>
        </w:rPr>
        <w:t>     </w:t>
      </w:r>
      <w:r>
        <w:rPr>
          <w:color w:val="222222"/>
        </w:rPr>
        <w:t>QIP to modify the practice of NMBA reversal in LUH anaesthesia department by instituting standard use of quantitative  TOF monitoring on all patients </w:t>
      </w:r>
      <w:r>
        <w:rPr>
          <w:color w:val="222222"/>
          <w:lang w:val="en-GB"/>
        </w:rPr>
        <w:t>thereby reducing perioperative risk and delivery of a safer anaesthetic.</w:t>
      </w:r>
    </w:p>
    <w:p w14:paraId="0250EA58" w14:textId="77777777" w:rsidR="007056CE" w:rsidRDefault="007056CE" w:rsidP="009959A2">
      <w:pPr>
        <w:spacing w:line="480" w:lineRule="auto"/>
        <w:rPr>
          <w:b/>
          <w:bCs/>
          <w:u w:val="single"/>
        </w:rPr>
      </w:pPr>
    </w:p>
    <w:p w14:paraId="16B10DD1" w14:textId="70D3A43F" w:rsidR="001B7775" w:rsidRPr="00456F4A" w:rsidRDefault="00CC7390" w:rsidP="009959A2">
      <w:pPr>
        <w:spacing w:line="480" w:lineRule="auto"/>
        <w:rPr>
          <w:b/>
          <w:bCs/>
          <w:u w:val="single"/>
        </w:rPr>
      </w:pPr>
      <w:r w:rsidRPr="00456F4A">
        <w:rPr>
          <w:b/>
          <w:bCs/>
          <w:u w:val="single"/>
        </w:rPr>
        <w:t>Methodology</w:t>
      </w:r>
    </w:p>
    <w:p w14:paraId="36AAE9AD" w14:textId="018DB245" w:rsidR="00991BF0" w:rsidRPr="00456F4A" w:rsidRDefault="000F0A54" w:rsidP="009959A2">
      <w:pPr>
        <w:spacing w:line="480" w:lineRule="auto"/>
      </w:pPr>
      <w:r>
        <w:rPr>
          <w:color w:val="222222"/>
          <w:shd w:val="clear" w:color="auto" w:fill="FFFFFF"/>
        </w:rPr>
        <w:t>In total, LUH had approximately 1786 patients undergo surgical procedures under GA between January 2023 -July 2023. We </w:t>
      </w:r>
      <w:r>
        <w:rPr>
          <w:color w:val="222222"/>
          <w:shd w:val="clear" w:color="auto" w:fill="FFFFFF"/>
          <w:lang w:val="en-GB"/>
        </w:rPr>
        <w:t>randomly selected 772 files and conducted a retrospective study on 320 cases that fit our sample criteria.</w:t>
      </w:r>
    </w:p>
    <w:p w14:paraId="6F2ADBF7" w14:textId="77777777" w:rsidR="007056CE" w:rsidRDefault="007056CE" w:rsidP="009959A2">
      <w:pPr>
        <w:spacing w:line="480" w:lineRule="auto"/>
        <w:rPr>
          <w:b/>
          <w:bCs/>
          <w:u w:val="single"/>
        </w:rPr>
      </w:pPr>
    </w:p>
    <w:p w14:paraId="3908F93F" w14:textId="77777777" w:rsidR="007056CE" w:rsidRDefault="007056CE" w:rsidP="009959A2">
      <w:pPr>
        <w:spacing w:line="480" w:lineRule="auto"/>
        <w:rPr>
          <w:b/>
          <w:bCs/>
          <w:u w:val="single"/>
        </w:rPr>
      </w:pPr>
    </w:p>
    <w:p w14:paraId="790A6F30" w14:textId="5A458B97" w:rsidR="00CC7390" w:rsidRPr="00456F4A" w:rsidRDefault="00CC7390" w:rsidP="009959A2">
      <w:pPr>
        <w:spacing w:line="480" w:lineRule="auto"/>
        <w:rPr>
          <w:b/>
          <w:bCs/>
          <w:u w:val="single"/>
        </w:rPr>
      </w:pPr>
      <w:r w:rsidRPr="00456F4A">
        <w:rPr>
          <w:b/>
          <w:bCs/>
          <w:u w:val="single"/>
        </w:rPr>
        <w:t xml:space="preserve">Results </w:t>
      </w:r>
    </w:p>
    <w:p w14:paraId="06F3F6F8" w14:textId="3F691601" w:rsidR="00A2231F" w:rsidRPr="00456F4A" w:rsidRDefault="00787A65" w:rsidP="009959A2">
      <w:pPr>
        <w:spacing w:line="480" w:lineRule="auto"/>
        <w:rPr>
          <w:b/>
          <w:bCs/>
        </w:rPr>
      </w:pPr>
      <w:r>
        <w:rPr>
          <w:color w:val="222222"/>
          <w:shd w:val="clear" w:color="auto" w:fill="FFFFFF"/>
        </w:rPr>
        <w:t>The probability of a general anaesthetic being conducted with an endotracheal tube vs supraglottic airway was 1:1.35 in favour of the SGA.  Approximately 42% of patients received a neuromuscular blocker; with only 4% of those patients receiving TOF monitoring. The adverse events associated with residual blockade in our population are unknown.</w:t>
      </w:r>
    </w:p>
    <w:p w14:paraId="3B69120E" w14:textId="77777777" w:rsidR="00456F4A" w:rsidRDefault="00456F4A" w:rsidP="009959A2">
      <w:pPr>
        <w:spacing w:line="480" w:lineRule="auto"/>
        <w:rPr>
          <w:b/>
          <w:bCs/>
          <w:u w:val="single"/>
        </w:rPr>
      </w:pPr>
    </w:p>
    <w:p w14:paraId="32FD71C7" w14:textId="58191357" w:rsidR="005065CE" w:rsidRPr="00456F4A" w:rsidRDefault="00CC7390" w:rsidP="009959A2">
      <w:pPr>
        <w:spacing w:line="480" w:lineRule="auto"/>
        <w:rPr>
          <w:b/>
          <w:bCs/>
          <w:u w:val="single"/>
        </w:rPr>
      </w:pPr>
      <w:r w:rsidRPr="00456F4A">
        <w:rPr>
          <w:b/>
          <w:bCs/>
          <w:u w:val="single"/>
        </w:rPr>
        <w:t xml:space="preserve">Conclusion </w:t>
      </w:r>
    </w:p>
    <w:p w14:paraId="48243C51" w14:textId="43EA6B0A" w:rsidR="00325FDC" w:rsidRPr="00456F4A" w:rsidRDefault="00787A65" w:rsidP="009959A2">
      <w:pPr>
        <w:autoSpaceDE w:val="0"/>
        <w:autoSpaceDN w:val="0"/>
        <w:adjustRightInd w:val="0"/>
        <w:spacing w:line="480" w:lineRule="auto"/>
        <w:jc w:val="both"/>
        <w:rPr>
          <w:color w:val="000000"/>
        </w:rPr>
      </w:pPr>
      <w:r>
        <w:rPr>
          <w:color w:val="222222"/>
          <w:shd w:val="clear" w:color="auto" w:fill="FFFFFF"/>
        </w:rPr>
        <w:t>Qualitative neuromuscular analysis and clinical signs of reversal which are neither sensitive nor specific markers are the current standard of practise at LUH. Quantitative neuromuscular monitoring in every phase of anaesthesia guides the optimum timing of reversal  and dosing of the antagonist which is noted to be until recovery of the TOF &gt;0.9 . Initiation of quantitative monitoring as standard practice in LUH will improve  patient safety through reduction of the risk  of post-operative pulmonary complications in approximately 42% of patient that undergo GA thus reducing morbidity and mortality.</w:t>
      </w:r>
    </w:p>
    <w:p w14:paraId="312ACF69" w14:textId="77777777" w:rsidR="00325FDC" w:rsidRPr="00456F4A" w:rsidRDefault="00325FDC" w:rsidP="00707384">
      <w:pPr>
        <w:autoSpaceDE w:val="0"/>
        <w:autoSpaceDN w:val="0"/>
        <w:adjustRightInd w:val="0"/>
        <w:spacing w:line="480" w:lineRule="auto"/>
        <w:jc w:val="both"/>
        <w:rPr>
          <w:color w:val="000000"/>
        </w:rPr>
      </w:pPr>
    </w:p>
    <w:p w14:paraId="5263BCC5" w14:textId="77777777" w:rsidR="00325FDC" w:rsidRPr="00456F4A" w:rsidRDefault="00325FDC" w:rsidP="00707384">
      <w:pPr>
        <w:spacing w:line="480" w:lineRule="auto"/>
      </w:pPr>
    </w:p>
    <w:p w14:paraId="574DB24C" w14:textId="77777777" w:rsidR="00325FDC" w:rsidRPr="00456F4A" w:rsidRDefault="00325FDC" w:rsidP="00707384">
      <w:pPr>
        <w:spacing w:line="480" w:lineRule="auto"/>
      </w:pPr>
    </w:p>
    <w:p w14:paraId="6D427977" w14:textId="77777777" w:rsidR="00325FDC" w:rsidRPr="00456F4A" w:rsidRDefault="00325FDC" w:rsidP="00707384">
      <w:pPr>
        <w:spacing w:line="480" w:lineRule="auto"/>
        <w:jc w:val="center"/>
        <w:rPr>
          <w:snapToGrid w:val="0"/>
          <w:lang w:val="en-US"/>
        </w:rPr>
      </w:pPr>
    </w:p>
    <w:p w14:paraId="02C5715C" w14:textId="77777777" w:rsidR="00DD7F3F" w:rsidRPr="00456F4A" w:rsidRDefault="00DD7F3F" w:rsidP="00707384">
      <w:pPr>
        <w:spacing w:line="480" w:lineRule="auto"/>
        <w:jc w:val="center"/>
        <w:rPr>
          <w:snapToGrid w:val="0"/>
          <w:lang w:val="en-US"/>
        </w:rPr>
      </w:pPr>
    </w:p>
    <w:p w14:paraId="2016CBD9" w14:textId="77777777" w:rsidR="00DD7F3F" w:rsidRPr="00456F4A" w:rsidRDefault="00DD7F3F" w:rsidP="00707384">
      <w:pPr>
        <w:spacing w:line="480" w:lineRule="auto"/>
        <w:jc w:val="center"/>
        <w:rPr>
          <w:snapToGrid w:val="0"/>
          <w:lang w:val="en-US"/>
        </w:rPr>
      </w:pPr>
    </w:p>
    <w:p w14:paraId="1A2373BC" w14:textId="77777777" w:rsidR="00151424" w:rsidRPr="00456F4A" w:rsidRDefault="00151424" w:rsidP="00707384">
      <w:pPr>
        <w:spacing w:line="480" w:lineRule="auto"/>
        <w:rPr>
          <w:snapToGrid w:val="0"/>
          <w:lang w:val="en-US"/>
        </w:rPr>
      </w:pPr>
    </w:p>
    <w:p w14:paraId="4F101051" w14:textId="77777777" w:rsidR="00893A38" w:rsidRPr="00456F4A" w:rsidRDefault="00893A38" w:rsidP="00707384">
      <w:pPr>
        <w:pStyle w:val="BodyText"/>
        <w:spacing w:line="480" w:lineRule="auto"/>
        <w:jc w:val="left"/>
        <w:rPr>
          <w:sz w:val="24"/>
        </w:rPr>
      </w:pPr>
    </w:p>
    <w:sectPr w:rsidR="00893A38" w:rsidRPr="00456F4A">
      <w:footerReference w:type="even" r:id="rId14"/>
      <w:footerReference w:type="default" r:id="rId15"/>
      <w:pgSz w:w="11906" w:h="16838"/>
      <w:pgMar w:top="624" w:right="851" w:bottom="567"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AFA2" w14:textId="77777777" w:rsidR="00D558C3" w:rsidRDefault="00D558C3" w:rsidP="00401913">
      <w:r>
        <w:separator/>
      </w:r>
    </w:p>
  </w:endnote>
  <w:endnote w:type="continuationSeparator" w:id="0">
    <w:p w14:paraId="1F477AE9" w14:textId="77777777" w:rsidR="00D558C3" w:rsidRDefault="00D558C3" w:rsidP="0040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Univers 47 CondensedLight">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2454444"/>
      <w:docPartObj>
        <w:docPartGallery w:val="Page Numbers (Bottom of Page)"/>
        <w:docPartUnique/>
      </w:docPartObj>
    </w:sdtPr>
    <w:sdtContent>
      <w:p w14:paraId="19B196E4" w14:textId="25EEC397" w:rsidR="00401913" w:rsidRDefault="00401913" w:rsidP="00E417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00906D" w14:textId="77777777" w:rsidR="00401913" w:rsidRDefault="00401913" w:rsidP="004019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8556366"/>
      <w:docPartObj>
        <w:docPartGallery w:val="Page Numbers (Bottom of Page)"/>
        <w:docPartUnique/>
      </w:docPartObj>
    </w:sdtPr>
    <w:sdtContent>
      <w:p w14:paraId="29FD9E87" w14:textId="2607869E" w:rsidR="00401913" w:rsidRDefault="00401913" w:rsidP="00E417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426A87" w14:textId="77777777" w:rsidR="00401913" w:rsidRDefault="00401913" w:rsidP="004019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B7955" w14:textId="77777777" w:rsidR="00D558C3" w:rsidRDefault="00D558C3" w:rsidP="00401913">
      <w:r>
        <w:separator/>
      </w:r>
    </w:p>
  </w:footnote>
  <w:footnote w:type="continuationSeparator" w:id="0">
    <w:p w14:paraId="69369085" w14:textId="77777777" w:rsidR="00D558C3" w:rsidRDefault="00D558C3" w:rsidP="00401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5501"/>
    <w:multiLevelType w:val="hybridMultilevel"/>
    <w:tmpl w:val="99DAB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525EB1"/>
    <w:multiLevelType w:val="hybridMultilevel"/>
    <w:tmpl w:val="9C3295A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9D5513"/>
    <w:multiLevelType w:val="hybridMultilevel"/>
    <w:tmpl w:val="E83C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0737779">
    <w:abstractNumId w:val="2"/>
  </w:num>
  <w:num w:numId="2" w16cid:durableId="2113160533">
    <w:abstractNumId w:val="0"/>
  </w:num>
  <w:num w:numId="3" w16cid:durableId="991329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4A3"/>
    <w:rsid w:val="00021939"/>
    <w:rsid w:val="0005130C"/>
    <w:rsid w:val="000A5D73"/>
    <w:rsid w:val="000C732A"/>
    <w:rsid w:val="000D4616"/>
    <w:rsid w:val="000D4C83"/>
    <w:rsid w:val="000D6A6B"/>
    <w:rsid w:val="000D79CA"/>
    <w:rsid w:val="000E71C9"/>
    <w:rsid w:val="000F0648"/>
    <w:rsid w:val="000F0A54"/>
    <w:rsid w:val="001000D7"/>
    <w:rsid w:val="0015029F"/>
    <w:rsid w:val="00151424"/>
    <w:rsid w:val="0015222A"/>
    <w:rsid w:val="00157213"/>
    <w:rsid w:val="00180FC3"/>
    <w:rsid w:val="00182C26"/>
    <w:rsid w:val="0019064F"/>
    <w:rsid w:val="0019283E"/>
    <w:rsid w:val="00195D3E"/>
    <w:rsid w:val="001A2375"/>
    <w:rsid w:val="001B7775"/>
    <w:rsid w:val="001E08E1"/>
    <w:rsid w:val="001E63C6"/>
    <w:rsid w:val="001F4A0D"/>
    <w:rsid w:val="002201D2"/>
    <w:rsid w:val="00261C34"/>
    <w:rsid w:val="00265589"/>
    <w:rsid w:val="00271375"/>
    <w:rsid w:val="00271730"/>
    <w:rsid w:val="002818B1"/>
    <w:rsid w:val="0029432D"/>
    <w:rsid w:val="002949CB"/>
    <w:rsid w:val="002A0D4F"/>
    <w:rsid w:val="002A3F04"/>
    <w:rsid w:val="002D4586"/>
    <w:rsid w:val="002E5881"/>
    <w:rsid w:val="002E6996"/>
    <w:rsid w:val="003004FE"/>
    <w:rsid w:val="00301091"/>
    <w:rsid w:val="003073EE"/>
    <w:rsid w:val="00317F9E"/>
    <w:rsid w:val="00325FDC"/>
    <w:rsid w:val="00346072"/>
    <w:rsid w:val="00353B61"/>
    <w:rsid w:val="00353C45"/>
    <w:rsid w:val="00383423"/>
    <w:rsid w:val="00385A45"/>
    <w:rsid w:val="003913F7"/>
    <w:rsid w:val="00397415"/>
    <w:rsid w:val="003E64E4"/>
    <w:rsid w:val="00401913"/>
    <w:rsid w:val="004062B6"/>
    <w:rsid w:val="00416A42"/>
    <w:rsid w:val="00425592"/>
    <w:rsid w:val="00437E9F"/>
    <w:rsid w:val="0044073C"/>
    <w:rsid w:val="00456F4A"/>
    <w:rsid w:val="00457020"/>
    <w:rsid w:val="00460C04"/>
    <w:rsid w:val="00467E69"/>
    <w:rsid w:val="00477E77"/>
    <w:rsid w:val="004A2437"/>
    <w:rsid w:val="004C6EC7"/>
    <w:rsid w:val="004F3EDC"/>
    <w:rsid w:val="005065CE"/>
    <w:rsid w:val="005112AE"/>
    <w:rsid w:val="005200D8"/>
    <w:rsid w:val="005234CF"/>
    <w:rsid w:val="00550588"/>
    <w:rsid w:val="00566765"/>
    <w:rsid w:val="00592C52"/>
    <w:rsid w:val="005B7369"/>
    <w:rsid w:val="005C0A23"/>
    <w:rsid w:val="005C1CDE"/>
    <w:rsid w:val="005E392E"/>
    <w:rsid w:val="005E6617"/>
    <w:rsid w:val="005F7923"/>
    <w:rsid w:val="006008A2"/>
    <w:rsid w:val="00603F41"/>
    <w:rsid w:val="00610120"/>
    <w:rsid w:val="00650EED"/>
    <w:rsid w:val="006537E2"/>
    <w:rsid w:val="00666445"/>
    <w:rsid w:val="00673963"/>
    <w:rsid w:val="00684BB1"/>
    <w:rsid w:val="0068537B"/>
    <w:rsid w:val="006A0C19"/>
    <w:rsid w:val="006B17EE"/>
    <w:rsid w:val="006B193D"/>
    <w:rsid w:val="006F19EB"/>
    <w:rsid w:val="006F40EA"/>
    <w:rsid w:val="006F77E2"/>
    <w:rsid w:val="007056CE"/>
    <w:rsid w:val="00707384"/>
    <w:rsid w:val="007270E0"/>
    <w:rsid w:val="0074770D"/>
    <w:rsid w:val="00751A4B"/>
    <w:rsid w:val="0076257D"/>
    <w:rsid w:val="00787A65"/>
    <w:rsid w:val="007A20D6"/>
    <w:rsid w:val="007B6AC9"/>
    <w:rsid w:val="007D363E"/>
    <w:rsid w:val="007E0BF4"/>
    <w:rsid w:val="007F3C0E"/>
    <w:rsid w:val="00804545"/>
    <w:rsid w:val="00807347"/>
    <w:rsid w:val="008173D1"/>
    <w:rsid w:val="0082658D"/>
    <w:rsid w:val="00847713"/>
    <w:rsid w:val="00887D33"/>
    <w:rsid w:val="008914B6"/>
    <w:rsid w:val="00893A38"/>
    <w:rsid w:val="008A5296"/>
    <w:rsid w:val="0090281B"/>
    <w:rsid w:val="009249FB"/>
    <w:rsid w:val="00927D5A"/>
    <w:rsid w:val="0093176B"/>
    <w:rsid w:val="00932884"/>
    <w:rsid w:val="0095208A"/>
    <w:rsid w:val="00963B77"/>
    <w:rsid w:val="00975016"/>
    <w:rsid w:val="00977AD8"/>
    <w:rsid w:val="009842E8"/>
    <w:rsid w:val="00991BF0"/>
    <w:rsid w:val="009959A2"/>
    <w:rsid w:val="009A02E9"/>
    <w:rsid w:val="009B1A22"/>
    <w:rsid w:val="009C15FE"/>
    <w:rsid w:val="009C6DA8"/>
    <w:rsid w:val="009D43CC"/>
    <w:rsid w:val="009E79D8"/>
    <w:rsid w:val="00A039E0"/>
    <w:rsid w:val="00A11B44"/>
    <w:rsid w:val="00A11B83"/>
    <w:rsid w:val="00A2231F"/>
    <w:rsid w:val="00A259EF"/>
    <w:rsid w:val="00A757FA"/>
    <w:rsid w:val="00A9773C"/>
    <w:rsid w:val="00AA02DF"/>
    <w:rsid w:val="00AA18F0"/>
    <w:rsid w:val="00AB4C19"/>
    <w:rsid w:val="00AB6F63"/>
    <w:rsid w:val="00AC6DC9"/>
    <w:rsid w:val="00AE6555"/>
    <w:rsid w:val="00B22F3F"/>
    <w:rsid w:val="00B972C3"/>
    <w:rsid w:val="00BA2AC6"/>
    <w:rsid w:val="00BB29CA"/>
    <w:rsid w:val="00BD1863"/>
    <w:rsid w:val="00BD54A3"/>
    <w:rsid w:val="00BE2186"/>
    <w:rsid w:val="00BE7125"/>
    <w:rsid w:val="00C04795"/>
    <w:rsid w:val="00C10D48"/>
    <w:rsid w:val="00C37AC1"/>
    <w:rsid w:val="00C47062"/>
    <w:rsid w:val="00C500E6"/>
    <w:rsid w:val="00C8406D"/>
    <w:rsid w:val="00CA1CF5"/>
    <w:rsid w:val="00CA5CCC"/>
    <w:rsid w:val="00CC6C3F"/>
    <w:rsid w:val="00CC7390"/>
    <w:rsid w:val="00CD6407"/>
    <w:rsid w:val="00CD7928"/>
    <w:rsid w:val="00CF1221"/>
    <w:rsid w:val="00CF75F6"/>
    <w:rsid w:val="00D21FEF"/>
    <w:rsid w:val="00D35605"/>
    <w:rsid w:val="00D46830"/>
    <w:rsid w:val="00D558C3"/>
    <w:rsid w:val="00D66C44"/>
    <w:rsid w:val="00D726D1"/>
    <w:rsid w:val="00DA5D38"/>
    <w:rsid w:val="00DC15B9"/>
    <w:rsid w:val="00DD7F3F"/>
    <w:rsid w:val="00E15D4C"/>
    <w:rsid w:val="00E21649"/>
    <w:rsid w:val="00E23A5C"/>
    <w:rsid w:val="00E26618"/>
    <w:rsid w:val="00E43923"/>
    <w:rsid w:val="00E544D9"/>
    <w:rsid w:val="00E83152"/>
    <w:rsid w:val="00E85030"/>
    <w:rsid w:val="00E9272A"/>
    <w:rsid w:val="00EC6386"/>
    <w:rsid w:val="00F10466"/>
    <w:rsid w:val="00F23456"/>
    <w:rsid w:val="00F249F1"/>
    <w:rsid w:val="00F318BF"/>
    <w:rsid w:val="00F437E3"/>
    <w:rsid w:val="00F47F7E"/>
    <w:rsid w:val="00F67CFB"/>
    <w:rsid w:val="00F80ACF"/>
    <w:rsid w:val="00F81792"/>
    <w:rsid w:val="00F9378A"/>
    <w:rsid w:val="00F95BBC"/>
    <w:rsid w:val="00F96ED7"/>
    <w:rsid w:val="00FA57EE"/>
    <w:rsid w:val="00FB451A"/>
    <w:rsid w:val="00FC6C01"/>
    <w:rsid w:val="00FE05C8"/>
    <w:rsid w:val="00FF1F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66A12"/>
  <w15:chartTrackingRefBased/>
  <w15:docId w15:val="{1D03C5E0-3B5D-4A3E-A881-427FD6D5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DC9"/>
    <w:rPr>
      <w:sz w:val="24"/>
      <w:szCs w:val="24"/>
      <w:lang w:val="en-IE"/>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rFonts w:ascii="Century Gothic" w:hAnsi="Century Gothic"/>
      <w:b/>
      <w:bCs/>
      <w:sz w:val="22"/>
      <w:lang w:val="en-GB" w:eastAsia="en-US"/>
    </w:rPr>
  </w:style>
  <w:style w:type="paragraph" w:styleId="Heading2">
    <w:name w:val="heading 2"/>
    <w:basedOn w:val="Normal"/>
    <w:next w:val="Normal"/>
    <w:qFormat/>
    <w:pPr>
      <w:keepNext/>
      <w:outlineLvl w:val="1"/>
    </w:pPr>
    <w:rPr>
      <w:rFonts w:ascii="Arial Narrow" w:hAnsi="Arial Narrow"/>
      <w:b/>
      <w:bCs/>
      <w:snapToGrid w:val="0"/>
      <w:sz w:val="20"/>
      <w:lang w:val="en-US" w:eastAsia="en-US"/>
    </w:rPr>
  </w:style>
  <w:style w:type="paragraph" w:styleId="Heading3">
    <w:name w:val="heading 3"/>
    <w:basedOn w:val="Normal"/>
    <w:next w:val="Normal"/>
    <w:qFormat/>
    <w:pPr>
      <w:keepNext/>
      <w:outlineLvl w:val="2"/>
    </w:pPr>
    <w:rPr>
      <w:rFonts w:ascii="Helvetica" w:hAnsi="Helvetica"/>
      <w:sz w:val="36"/>
      <w:lang w:val="en-GB" w:eastAsia="en-US"/>
    </w:rPr>
  </w:style>
  <w:style w:type="paragraph" w:styleId="Heading4">
    <w:name w:val="heading 4"/>
    <w:basedOn w:val="Normal"/>
    <w:next w:val="Normal"/>
    <w:qFormat/>
    <w:pPr>
      <w:keepNext/>
      <w:ind w:left="1440" w:firstLine="720"/>
      <w:outlineLvl w:val="3"/>
    </w:pPr>
    <w:rPr>
      <w:rFonts w:ascii="Century Gothic" w:hAnsi="Century Gothic"/>
      <w:sz w:val="4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AText2">
    <w:name w:val="RCA Text 2"/>
    <w:pPr>
      <w:snapToGrid w:val="0"/>
      <w:spacing w:line="360" w:lineRule="atLeast"/>
      <w:jc w:val="both"/>
    </w:pPr>
    <w:rPr>
      <w:rFonts w:ascii="Univers 47 CondensedLight" w:hAnsi="Univers 47 CondensedLight"/>
      <w:b/>
      <w:caps/>
      <w:color w:val="000000"/>
      <w:sz w:val="26"/>
      <w:lang w:val="en-US" w:eastAsia="en-US"/>
    </w:rPr>
  </w:style>
  <w:style w:type="paragraph" w:styleId="BodyText">
    <w:name w:val="Body Text"/>
    <w:basedOn w:val="Normal"/>
    <w:pPr>
      <w:jc w:val="both"/>
    </w:pPr>
    <w:rPr>
      <w:color w:val="000080"/>
      <w:sz w:val="20"/>
      <w:lang w:val="en-GB" w:eastAsia="en-US"/>
    </w:rPr>
  </w:style>
  <w:style w:type="paragraph" w:styleId="Title">
    <w:name w:val="Title"/>
    <w:basedOn w:val="Normal"/>
    <w:qFormat/>
    <w:pPr>
      <w:jc w:val="center"/>
    </w:pPr>
    <w:rPr>
      <w:rFonts w:ascii="Arial Black" w:hAnsi="Arial Black"/>
      <w:b/>
      <w:bCs/>
      <w:sz w:val="52"/>
      <w:lang w:val="en-GB" w:eastAsia="en-US"/>
    </w:rPr>
  </w:style>
  <w:style w:type="paragraph" w:styleId="Subtitle">
    <w:name w:val="Subtitle"/>
    <w:basedOn w:val="Normal"/>
    <w:qFormat/>
    <w:pPr>
      <w:jc w:val="center"/>
    </w:pPr>
    <w:rPr>
      <w:rFonts w:ascii="Helvetica" w:hAnsi="Helvetica"/>
      <w:b/>
      <w:bCs/>
      <w:sz w:val="56"/>
      <w:lang w:val="en-GB" w:eastAsia="en-US"/>
    </w:rPr>
  </w:style>
  <w:style w:type="paragraph" w:styleId="BodyText2">
    <w:name w:val="Body Text 2"/>
    <w:basedOn w:val="Normal"/>
    <w:rPr>
      <w:rFonts w:ascii="Century Gothic" w:hAnsi="Century Gothic"/>
      <w:sz w:val="72"/>
      <w:lang w:val="en-GB" w:eastAsia="en-US"/>
    </w:r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AE6555"/>
    <w:rPr>
      <w:color w:val="605E5C"/>
      <w:shd w:val="clear" w:color="auto" w:fill="E1DFDD"/>
    </w:rPr>
  </w:style>
  <w:style w:type="paragraph" w:styleId="ListParagraph">
    <w:name w:val="List Paragraph"/>
    <w:basedOn w:val="Normal"/>
    <w:uiPriority w:val="34"/>
    <w:qFormat/>
    <w:rsid w:val="00DA5D38"/>
    <w:pPr>
      <w:spacing w:after="200" w:line="276" w:lineRule="auto"/>
      <w:ind w:left="720"/>
      <w:contextualSpacing/>
      <w:jc w:val="both"/>
    </w:pPr>
    <w:rPr>
      <w:rFonts w:asciiTheme="minorHAnsi" w:eastAsiaTheme="minorEastAsia" w:hAnsiTheme="minorHAnsi" w:cstheme="minorBidi"/>
      <w:sz w:val="20"/>
      <w:szCs w:val="20"/>
      <w:lang w:eastAsia="en-US"/>
    </w:rPr>
  </w:style>
  <w:style w:type="paragraph" w:styleId="Footer">
    <w:name w:val="footer"/>
    <w:basedOn w:val="Normal"/>
    <w:link w:val="FooterChar"/>
    <w:uiPriority w:val="99"/>
    <w:unhideWhenUsed/>
    <w:rsid w:val="00401913"/>
    <w:pPr>
      <w:tabs>
        <w:tab w:val="center" w:pos="4513"/>
        <w:tab w:val="right" w:pos="9026"/>
      </w:tabs>
    </w:pPr>
    <w:rPr>
      <w:lang w:val="en-GB" w:eastAsia="en-US"/>
    </w:rPr>
  </w:style>
  <w:style w:type="character" w:customStyle="1" w:styleId="FooterChar">
    <w:name w:val="Footer Char"/>
    <w:basedOn w:val="DefaultParagraphFont"/>
    <w:link w:val="Footer"/>
    <w:uiPriority w:val="99"/>
    <w:rsid w:val="00401913"/>
    <w:rPr>
      <w:sz w:val="24"/>
      <w:szCs w:val="24"/>
      <w:lang w:eastAsia="en-US"/>
    </w:rPr>
  </w:style>
  <w:style w:type="character" w:styleId="PageNumber">
    <w:name w:val="page number"/>
    <w:basedOn w:val="DefaultParagraphFont"/>
    <w:uiPriority w:val="99"/>
    <w:semiHidden/>
    <w:unhideWhenUsed/>
    <w:rsid w:val="00401913"/>
  </w:style>
  <w:style w:type="character" w:customStyle="1" w:styleId="hgkelc">
    <w:name w:val="hgkelc"/>
    <w:basedOn w:val="DefaultParagraphFont"/>
    <w:rsid w:val="00AC6DC9"/>
  </w:style>
  <w:style w:type="paragraph" w:styleId="NormalWeb">
    <w:name w:val="Normal (Web)"/>
    <w:basedOn w:val="Normal"/>
    <w:uiPriority w:val="99"/>
    <w:semiHidden/>
    <w:unhideWhenUsed/>
    <w:rsid w:val="000F0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42689">
      <w:bodyDiv w:val="1"/>
      <w:marLeft w:val="0"/>
      <w:marRight w:val="0"/>
      <w:marTop w:val="0"/>
      <w:marBottom w:val="0"/>
      <w:divBdr>
        <w:top w:val="none" w:sz="0" w:space="0" w:color="auto"/>
        <w:left w:val="none" w:sz="0" w:space="0" w:color="auto"/>
        <w:bottom w:val="none" w:sz="0" w:space="0" w:color="auto"/>
        <w:right w:val="none" w:sz="0" w:space="0" w:color="auto"/>
      </w:divBdr>
      <w:divsChild>
        <w:div w:id="1145271424">
          <w:marLeft w:val="0"/>
          <w:marRight w:val="0"/>
          <w:marTop w:val="0"/>
          <w:marBottom w:val="0"/>
          <w:divBdr>
            <w:top w:val="none" w:sz="0" w:space="0" w:color="auto"/>
            <w:left w:val="none" w:sz="0" w:space="0" w:color="auto"/>
            <w:bottom w:val="none" w:sz="0" w:space="0" w:color="auto"/>
            <w:right w:val="none" w:sz="0" w:space="0" w:color="auto"/>
          </w:divBdr>
          <w:divsChild>
            <w:div w:id="1520121067">
              <w:marLeft w:val="0"/>
              <w:marRight w:val="0"/>
              <w:marTop w:val="0"/>
              <w:marBottom w:val="0"/>
              <w:divBdr>
                <w:top w:val="none" w:sz="0" w:space="0" w:color="auto"/>
                <w:left w:val="none" w:sz="0" w:space="0" w:color="auto"/>
                <w:bottom w:val="none" w:sz="0" w:space="0" w:color="auto"/>
                <w:right w:val="none" w:sz="0" w:space="0" w:color="auto"/>
              </w:divBdr>
            </w:div>
          </w:divsChild>
        </w:div>
        <w:div w:id="403794939">
          <w:marLeft w:val="0"/>
          <w:marRight w:val="0"/>
          <w:marTop w:val="0"/>
          <w:marBottom w:val="0"/>
          <w:divBdr>
            <w:top w:val="none" w:sz="0" w:space="0" w:color="auto"/>
            <w:left w:val="none" w:sz="0" w:space="0" w:color="auto"/>
            <w:bottom w:val="none" w:sz="0" w:space="0" w:color="auto"/>
            <w:right w:val="none" w:sz="0" w:space="0" w:color="auto"/>
          </w:divBdr>
          <w:divsChild>
            <w:div w:id="149029518">
              <w:marLeft w:val="0"/>
              <w:marRight w:val="0"/>
              <w:marTop w:val="0"/>
              <w:marBottom w:val="0"/>
              <w:divBdr>
                <w:top w:val="none" w:sz="0" w:space="0" w:color="auto"/>
                <w:left w:val="none" w:sz="0" w:space="0" w:color="auto"/>
                <w:bottom w:val="none" w:sz="0" w:space="0" w:color="auto"/>
                <w:right w:val="none" w:sz="0" w:space="0" w:color="auto"/>
              </w:divBdr>
              <w:divsChild>
                <w:div w:id="1186401381">
                  <w:marLeft w:val="0"/>
                  <w:marRight w:val="0"/>
                  <w:marTop w:val="0"/>
                  <w:marBottom w:val="0"/>
                  <w:divBdr>
                    <w:top w:val="none" w:sz="0" w:space="0" w:color="auto"/>
                    <w:left w:val="none" w:sz="0" w:space="0" w:color="auto"/>
                    <w:bottom w:val="none" w:sz="0" w:space="0" w:color="auto"/>
                    <w:right w:val="none" w:sz="0" w:space="0" w:color="auto"/>
                  </w:divBdr>
                  <w:divsChild>
                    <w:div w:id="684476937">
                      <w:marLeft w:val="0"/>
                      <w:marRight w:val="0"/>
                      <w:marTop w:val="0"/>
                      <w:marBottom w:val="0"/>
                      <w:divBdr>
                        <w:top w:val="none" w:sz="0" w:space="0" w:color="auto"/>
                        <w:left w:val="none" w:sz="0" w:space="0" w:color="auto"/>
                        <w:bottom w:val="none" w:sz="0" w:space="0" w:color="auto"/>
                        <w:right w:val="none" w:sz="0" w:space="0" w:color="auto"/>
                      </w:divBdr>
                      <w:divsChild>
                        <w:div w:id="1731886180">
                          <w:marLeft w:val="0"/>
                          <w:marRight w:val="0"/>
                          <w:marTop w:val="0"/>
                          <w:marBottom w:val="0"/>
                          <w:divBdr>
                            <w:top w:val="none" w:sz="0" w:space="0" w:color="auto"/>
                            <w:left w:val="none" w:sz="0" w:space="0" w:color="auto"/>
                            <w:bottom w:val="none" w:sz="0" w:space="0" w:color="auto"/>
                            <w:right w:val="none" w:sz="0" w:space="0" w:color="auto"/>
                          </w:divBdr>
                          <w:divsChild>
                            <w:div w:id="2160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7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umbidzai.tsomondo@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tsierue@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03634D9978D4BAAAE9C2D37AD8557" ma:contentTypeVersion="14" ma:contentTypeDescription="Create a new document." ma:contentTypeScope="" ma:versionID="2aae2210fedfb9d7ac60d1aa8c3f05ca">
  <xsd:schema xmlns:xsd="http://www.w3.org/2001/XMLSchema" xmlns:xs="http://www.w3.org/2001/XMLSchema" xmlns:p="http://schemas.microsoft.com/office/2006/metadata/properties" xmlns:ns3="c990ec02-5ad4-427d-843f-a95310fd6cab" xmlns:ns4="7ca80354-e419-4e1a-b258-3274a8eaabb3" targetNamespace="http://schemas.microsoft.com/office/2006/metadata/properties" ma:root="true" ma:fieldsID="ce3cf95c4976c6a9e2d923909395ab9c" ns3:_="" ns4:_="">
    <xsd:import namespace="c990ec02-5ad4-427d-843f-a95310fd6cab"/>
    <xsd:import namespace="7ca80354-e419-4e1a-b258-3274a8eaab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0ec02-5ad4-427d-843f-a95310fd6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80354-e419-4e1a-b258-3274a8eaab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EA270-5387-4F1D-9285-15892767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0ec02-5ad4-427d-843f-a95310fd6cab"/>
    <ds:schemaRef ds:uri="7ca80354-e419-4e1a-b258-3274a8eaa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050FD-9E7D-4DEE-9222-E96517E407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A4F26A-077A-4C3B-9F84-3D07E2A80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PLEASE COMPLETE THIS FORM IN BLOCK CAPITALS USING BLACK INK</vt:lpstr>
    </vt:vector>
  </TitlesOfParts>
  <Company>RCSI</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IN BLOCK CAPITALS USING BLACK INK</dc:title>
  <dc:subject/>
  <dc:creator>Sue Ryan</dc:creator>
  <cp:keywords/>
  <cp:lastModifiedBy>Netsai Chikosi</cp:lastModifiedBy>
  <cp:revision>150</cp:revision>
  <cp:lastPrinted>2019-08-28T14:32:00Z</cp:lastPrinted>
  <dcterms:created xsi:type="dcterms:W3CDTF">2023-09-21T19:57:00Z</dcterms:created>
  <dcterms:modified xsi:type="dcterms:W3CDTF">2023-09-25T10:56:00Z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0x0101008CF03634D9978D4BAAAE9C2D37AD8557</vt:lpwstr>
  </property>
</Properties>
</file>